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приложением №7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Единым стандартам качества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обслуживания сетевыми </w:t>
      </w:r>
    </w:p>
    <w:p w:rsidR="00BF7841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организациями потребителей</w:t>
      </w:r>
    </w:p>
    <w:p w:rsidR="00BF7841" w:rsidRPr="00C02CF4" w:rsidRDefault="00BF7841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78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услуг сетевых организаций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утв. Приказом Минэнерго РФ</w:t>
      </w:r>
    </w:p>
    <w:p w:rsidR="00C02CF4" w:rsidRPr="00C02CF4" w:rsidRDefault="00C02CF4" w:rsidP="00685715">
      <w:pPr>
        <w:spacing w:after="0" w:line="240" w:lineRule="auto"/>
        <w:ind w:firstLine="1176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CF4">
        <w:rPr>
          <w:rFonts w:ascii="Times New Roman" w:hAnsi="Times New Roman" w:cs="Times New Roman"/>
          <w:color w:val="000000" w:themeColor="text1"/>
          <w:sz w:val="20"/>
          <w:szCs w:val="20"/>
        </w:rPr>
        <w:t>от 15.04.14г. №186</w:t>
      </w:r>
    </w:p>
    <w:p w:rsidR="00BF7841" w:rsidRPr="00BF7841" w:rsidRDefault="00BF7841" w:rsidP="00BF78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FA39FA" w:rsidRPr="00685715" w:rsidRDefault="00FA39FA" w:rsidP="00E801B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 качестве обслуживания потребителей услуг</w:t>
      </w:r>
    </w:p>
    <w:p w:rsidR="00FA39FA" w:rsidRPr="00685715" w:rsidRDefault="00E637DC" w:rsidP="00FA3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Филиала А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 «</w:t>
      </w:r>
      <w:proofErr w:type="spellStart"/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Горэлектросеть</w:t>
      </w:r>
      <w:proofErr w:type="spellEnd"/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«РГЭС»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201</w:t>
      </w:r>
      <w:r w:rsidR="00A00140" w:rsidRPr="00EC601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8977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FA39FA" w:rsidRPr="00685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E41BD5" w:rsidRDefault="00E41BD5">
      <w:pPr>
        <w:rPr>
          <w:rFonts w:ascii="Times New Roman" w:hAnsi="Times New Roman" w:cs="Times New Roman"/>
          <w:color w:val="000000" w:themeColor="text1"/>
          <w:sz w:val="18"/>
        </w:rPr>
      </w:pPr>
    </w:p>
    <w:p w:rsidR="00FD775D" w:rsidRPr="00EC601E" w:rsidRDefault="00FD775D" w:rsidP="00FD775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EC601E">
        <w:rPr>
          <w:rFonts w:ascii="Times New Roman" w:hAnsi="Times New Roman" w:cs="Times New Roman"/>
          <w:b/>
          <w:bCs/>
        </w:rPr>
        <w:t>3. ИНФОРМАЦИЯ О КАЧЕСТВЕ УСЛУГ ПО ТЕХНОЛОГИЧЕСКОМУ ПРИСОЕДИНЕНИЮ</w:t>
      </w: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17301"/>
      <w:r w:rsidRPr="00C02CF4">
        <w:rPr>
          <w:rFonts w:ascii="Times New Roman" w:hAnsi="Times New Roman" w:cs="Times New Roman"/>
        </w:rPr>
        <w:t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её увеличения с разбивкой по структурным единицам сетевой организации и по уровням напряжения на основании инвестиционной программы такой организации, заполняется в произвольной форме.</w:t>
      </w:r>
    </w:p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FD775D" w:rsidRPr="00254F12" w:rsidTr="000246A9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21,91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15:00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5,70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2,17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3,34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4,39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20:00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1,89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8,62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2,82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615ADA" w:rsidRPr="00254F12" w:rsidTr="000246A9">
        <w:trPr>
          <w:trHeight w:val="510"/>
        </w:trPr>
        <w:tc>
          <w:tcPr>
            <w:tcW w:w="466" w:type="dxa"/>
            <w:vMerge/>
            <w:vAlign w:val="center"/>
            <w:hideMark/>
          </w:tcPr>
          <w:p w:rsidR="00615ADA" w:rsidRPr="00254F12" w:rsidRDefault="00615ADA" w:rsidP="006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615ADA" w:rsidRPr="00254F12" w:rsidRDefault="00615ADA" w:rsidP="006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615ADA" w:rsidRPr="00254F12" w:rsidRDefault="00615ADA" w:rsidP="006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615ADA" w:rsidRPr="001D3151" w:rsidRDefault="00713057" w:rsidP="00615A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615ADA" w:rsidRPr="00EF5607" w:rsidRDefault="00713057" w:rsidP="00615A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615ADA" w:rsidRPr="00571B98" w:rsidRDefault="00615ADA" w:rsidP="00615A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615ADA" w:rsidRPr="00254F12" w:rsidRDefault="00615ADA" w:rsidP="006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615ADA" w:rsidRPr="00F57E1A" w:rsidRDefault="00615ADA" w:rsidP="006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615ADA" w:rsidRPr="00254F12" w:rsidRDefault="00615ADA" w:rsidP="006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615ADA" w:rsidRPr="00254F12" w:rsidRDefault="00615ADA" w:rsidP="006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40E5" w:rsidRDefault="00D440E5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3.1 Анализ нагруз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ки центров питания 35кВ и ниже</w:t>
      </w:r>
      <w:r w:rsidR="00C4639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филиала 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АО </w:t>
      </w:r>
      <w:r w:rsidR="00C4639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</w:t>
      </w:r>
      <w:proofErr w:type="spellStart"/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Горэлектросеть</w:t>
      </w:r>
      <w:proofErr w:type="spellEnd"/>
      <w:r w:rsidR="00C4639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 «РГЭС»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C4639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Радужный</w:t>
      </w:r>
      <w:r w:rsidRPr="000D79A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 Наличие свободной для технологического присоединения мощности с дифференциацией по уровням напряжения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W w:w="14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68"/>
        <w:gridCol w:w="1023"/>
        <w:gridCol w:w="1242"/>
        <w:gridCol w:w="1502"/>
        <w:gridCol w:w="1458"/>
        <w:gridCol w:w="2221"/>
        <w:gridCol w:w="1300"/>
        <w:gridCol w:w="1967"/>
        <w:gridCol w:w="1555"/>
      </w:tblGrid>
      <w:tr w:rsidR="00FD775D" w:rsidRPr="00254F12" w:rsidTr="0022120E">
        <w:trPr>
          <w:trHeight w:val="130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центра питания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Uном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акт.макс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Нагр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МВт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Рмакс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 заключенным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договорам </w:t>
            </w:r>
            <w:proofErr w:type="spellStart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Тех.прис</w:t>
            </w:r>
            <w:proofErr w:type="spellEnd"/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 пропускной способности, МВт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сточник</w:t>
            </w:r>
          </w:p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(ГПП)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ата, время  максимума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труктурная единица СО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FD775D" w:rsidRPr="00254F12" w:rsidRDefault="00FD775D" w:rsidP="0022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54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рогноз увеличения пропускной способности</w:t>
            </w:r>
          </w:p>
        </w:tc>
      </w:tr>
      <w:tr w:rsidR="000246A9" w:rsidRPr="00254F12" w:rsidTr="0022120E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"Город-1"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</w:tr>
      <w:tr w:rsidR="000246A9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D440E5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D440E5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D440E5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D440E5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8,32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D440E5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"Город-2"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№4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48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4,98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21,91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"Город-3" 2х10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2,74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11,90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"Дачная"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15:00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1,54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4,63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 "ГТЭС-2" 1х6,3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№1 ПС 110/35/10кВ "Радужная"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5,70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"Аэропорт"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0,26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1,57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2,17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258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ПС35/6кВ "Причал"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№3,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0,66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3,34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"Котельная-2"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№2 ПС 110/35/10кВ "Радужная", ф.35кВ №6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9:00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4,39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"Котельная-3"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0,48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"Котельная-4"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20:00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1,79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"Кирпичная"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ф.35кВ №4 ПС 110/35/10кВ "Радужная", ф.35кВ №3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1,89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"Поселок"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220/110/35/6кВ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1,58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8,62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"Лесная" 2х4,0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17:00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0,82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2,82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35/10кВ "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2х6,3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№2, №5 ПС 110/35/10кВ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Промзона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10:00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7D54B4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1,23</w:t>
            </w:r>
          </w:p>
        </w:tc>
        <w:tc>
          <w:tcPr>
            <w:tcW w:w="2221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6A9" w:rsidRPr="00254F12" w:rsidTr="000246A9">
        <w:trPr>
          <w:trHeight w:val="300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 35/6кВ "</w:t>
            </w:r>
            <w:proofErr w:type="spellStart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Рославльская</w:t>
            </w:r>
            <w:proofErr w:type="spellEnd"/>
            <w:r w:rsidRPr="00615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2х6,3 + 2х10,0 МВА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ф.ф.35кВ №1, №3 ПС 110/35/6кВ "</w:t>
            </w:r>
            <w:proofErr w:type="spellStart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Истоминская</w:t>
            </w:r>
            <w:proofErr w:type="spellEnd"/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46A9">
              <w:rPr>
                <w:rFonts w:ascii="Times New Roman" w:hAnsi="Times New Roman" w:cs="Times New Roman"/>
                <w:color w:val="000000"/>
              </w:rPr>
              <w:t>20.12.2017 4:00</w:t>
            </w:r>
          </w:p>
        </w:tc>
        <w:tc>
          <w:tcPr>
            <w:tcW w:w="1967" w:type="dxa"/>
            <w:vMerge w:val="restart"/>
            <w:shd w:val="clear" w:color="auto" w:fill="auto"/>
            <w:noWrap/>
            <w:hideMark/>
          </w:tcPr>
          <w:p w:rsidR="000246A9" w:rsidRPr="000246A9" w:rsidRDefault="000246A9" w:rsidP="000246A9">
            <w:pPr>
              <w:jc w:val="center"/>
              <w:rPr>
                <w:rFonts w:ascii="Times New Roman" w:hAnsi="Times New Roman" w:cs="Times New Roman"/>
              </w:rPr>
            </w:pPr>
            <w:r w:rsidRPr="000246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подстанций 35кВ</w:t>
            </w:r>
          </w:p>
        </w:tc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</w:tr>
      <w:tr w:rsidR="000246A9" w:rsidRPr="00254F12" w:rsidTr="0022120E">
        <w:trPr>
          <w:trHeight w:val="300"/>
        </w:trPr>
        <w:tc>
          <w:tcPr>
            <w:tcW w:w="466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  <w:r w:rsidRPr="00254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0246A9" w:rsidRPr="001D3151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8,47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0246A9" w:rsidRPr="00EF5607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8,95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0246A9" w:rsidRPr="00571B98" w:rsidRDefault="000246A9" w:rsidP="000246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246A9" w:rsidRPr="00F57E1A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  <w:hideMark/>
          </w:tcPr>
          <w:p w:rsidR="000246A9" w:rsidRPr="00254F12" w:rsidRDefault="000246A9" w:rsidP="0002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17302"/>
      <w:bookmarkEnd w:id="1"/>
      <w:r w:rsidRPr="00BF0A68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FD775D" w:rsidRPr="00BF0A68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4"/>
        <w:tblW w:w="14866" w:type="dxa"/>
        <w:tblInd w:w="155" w:type="dxa"/>
        <w:tblLook w:val="04A0" w:firstRow="1" w:lastRow="0" w:firstColumn="1" w:lastColumn="0" w:noHBand="0" w:noVBand="1"/>
      </w:tblPr>
      <w:tblGrid>
        <w:gridCol w:w="1994"/>
        <w:gridCol w:w="5267"/>
        <w:gridCol w:w="5480"/>
        <w:gridCol w:w="2125"/>
      </w:tblGrid>
      <w:tr w:rsidR="00FD775D" w:rsidRPr="00BF0A68" w:rsidTr="00C4639B">
        <w:trPr>
          <w:trHeight w:val="625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67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Мероприятия, выполненные сетевой организацией в целях совершенствования деятельности по технологическому присоединению в 2017 году</w:t>
            </w:r>
          </w:p>
        </w:tc>
        <w:tc>
          <w:tcPr>
            <w:tcW w:w="5480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12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FD775D" w:rsidRPr="00BF0A68" w:rsidTr="00C4639B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7" w:type="dxa"/>
            <w:vAlign w:val="center"/>
          </w:tcPr>
          <w:p w:rsidR="00FD775D" w:rsidRPr="00BF0A68" w:rsidRDefault="00FD775D" w:rsidP="009A15ED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Заключение соглашения о взаимодействии структурных подразделений</w:t>
            </w:r>
            <w:r w:rsidR="000246A9">
              <w:rPr>
                <w:rFonts w:ascii="Times New Roman" w:hAnsi="Times New Roman" w:cs="Times New Roman"/>
              </w:rPr>
              <w:t xml:space="preserve"> </w:t>
            </w:r>
            <w:r w:rsidRPr="00BF0A6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BF0A68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BF0A68">
              <w:rPr>
                <w:rFonts w:ascii="Times New Roman" w:hAnsi="Times New Roman" w:cs="Times New Roman"/>
              </w:rPr>
              <w:t>» и МКУ «</w:t>
            </w:r>
            <w:r w:rsidR="009A15ED">
              <w:rPr>
                <w:rFonts w:ascii="Times New Roman" w:hAnsi="Times New Roman" w:cs="Times New Roman"/>
              </w:rPr>
              <w:t>М</w:t>
            </w:r>
            <w:r w:rsidRPr="00BF0A68">
              <w:rPr>
                <w:rFonts w:ascii="Times New Roman" w:hAnsi="Times New Roman" w:cs="Times New Roman"/>
              </w:rPr>
              <w:t>ногофункциональный центр предоставления государственных и муниципальных услуг</w:t>
            </w:r>
            <w:r w:rsidR="009A15ED">
              <w:rPr>
                <w:rFonts w:ascii="Times New Roman" w:hAnsi="Times New Roman" w:cs="Times New Roman"/>
              </w:rPr>
              <w:t xml:space="preserve"> города Радужный</w:t>
            </w:r>
            <w:r w:rsidRPr="00BF0A6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480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Консультирование, прием и выдача документов по вопросам подключения. Предоставление услуг по принципу «одного окна».</w:t>
            </w:r>
          </w:p>
        </w:tc>
        <w:tc>
          <w:tcPr>
            <w:tcW w:w="212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775D" w:rsidRPr="00BF0A68" w:rsidTr="00C4639B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7" w:type="dxa"/>
            <w:vAlign w:val="center"/>
          </w:tcPr>
          <w:p w:rsidR="00FD775D" w:rsidRPr="00BF0A68" w:rsidRDefault="00FD775D" w:rsidP="0022120E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Разработка проекта соглашения о взаимодействии структурных подразделений АО «</w:t>
            </w:r>
            <w:proofErr w:type="spellStart"/>
            <w:r w:rsidRPr="00BF0A68">
              <w:rPr>
                <w:rFonts w:ascii="Times New Roman" w:hAnsi="Times New Roman" w:cs="Times New Roman"/>
              </w:rPr>
              <w:t>Горэлектросеть</w:t>
            </w:r>
            <w:proofErr w:type="spellEnd"/>
            <w:r w:rsidRPr="00BF0A68">
              <w:rPr>
                <w:rFonts w:ascii="Times New Roman" w:hAnsi="Times New Roman" w:cs="Times New Roman"/>
              </w:rPr>
              <w:t xml:space="preserve">» и Департамент ЖКК </w:t>
            </w:r>
            <w:proofErr w:type="spellStart"/>
            <w:r w:rsidRPr="00BF0A68">
              <w:rPr>
                <w:rFonts w:ascii="Times New Roman" w:hAnsi="Times New Roman" w:cs="Times New Roman"/>
              </w:rPr>
              <w:t>иЭ</w:t>
            </w:r>
            <w:proofErr w:type="spellEnd"/>
            <w:r w:rsidRPr="00BF0A68">
              <w:rPr>
                <w:rFonts w:ascii="Times New Roman" w:hAnsi="Times New Roman" w:cs="Times New Roman"/>
              </w:rPr>
              <w:t xml:space="preserve"> ХМАО-Югры для подключения к электронным сервисам Автоматизированной информационной системы подключения (технологического присоединения) к сетям инженерно-технического обеспечения в ХМАО-Югре.</w:t>
            </w:r>
          </w:p>
        </w:tc>
        <w:tc>
          <w:tcPr>
            <w:tcW w:w="5480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Создание единого интернет-портала и электронных сервисов для осуществления подключения, обеспечение интерактивного взаимодействия с потребителями в режиме «одного окна».</w:t>
            </w:r>
          </w:p>
        </w:tc>
        <w:tc>
          <w:tcPr>
            <w:tcW w:w="212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D775D" w:rsidRPr="00BF0A68" w:rsidTr="00C4639B">
        <w:trPr>
          <w:trHeight w:val="662"/>
        </w:trPr>
        <w:tc>
          <w:tcPr>
            <w:tcW w:w="0" w:type="auto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7" w:type="dxa"/>
            <w:vAlign w:val="center"/>
          </w:tcPr>
          <w:p w:rsidR="00FD775D" w:rsidRPr="00BF0A68" w:rsidRDefault="00FD775D" w:rsidP="00C4639B">
            <w:pPr>
              <w:jc w:val="both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 xml:space="preserve">Заключение </w:t>
            </w:r>
            <w:r w:rsidR="00C4639B">
              <w:rPr>
                <w:rFonts w:ascii="Times New Roman" w:hAnsi="Times New Roman" w:cs="Times New Roman"/>
              </w:rPr>
              <w:t>регламента взаимодействия акционерного общества «Югорская территориальная энергетическая компания» и акционерного общества «Городские электрические сети»</w:t>
            </w:r>
          </w:p>
        </w:tc>
        <w:tc>
          <w:tcPr>
            <w:tcW w:w="5480" w:type="dxa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Align w:val="center"/>
          </w:tcPr>
          <w:p w:rsidR="00FD775D" w:rsidRPr="00BF0A68" w:rsidRDefault="00FD775D" w:rsidP="0022120E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4639B" w:rsidRPr="00BF0A68" w:rsidTr="0045396D">
        <w:trPr>
          <w:trHeight w:val="662"/>
        </w:trPr>
        <w:tc>
          <w:tcPr>
            <w:tcW w:w="0" w:type="auto"/>
          </w:tcPr>
          <w:p w:rsidR="00C4639B" w:rsidRPr="00E0152F" w:rsidRDefault="00C4639B" w:rsidP="00C4639B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7" w:type="dxa"/>
          </w:tcPr>
          <w:p w:rsidR="00C4639B" w:rsidRPr="00C4639B" w:rsidRDefault="00C4639B" w:rsidP="00C4639B">
            <w:pPr>
              <w:rPr>
                <w:rFonts w:ascii="Times New Roman" w:hAnsi="Times New Roman" w:cs="Times New Roman"/>
              </w:rPr>
            </w:pPr>
            <w:r w:rsidRPr="00C4639B">
              <w:rPr>
                <w:rFonts w:ascii="Times New Roman" w:hAnsi="Times New Roman" w:cs="Times New Roman"/>
              </w:rPr>
              <w:t xml:space="preserve">Заключение </w:t>
            </w:r>
            <w:r>
              <w:rPr>
                <w:rFonts w:ascii="Times New Roman" w:hAnsi="Times New Roman" w:cs="Times New Roman"/>
              </w:rPr>
              <w:t xml:space="preserve">соглашения о порядке </w:t>
            </w:r>
            <w:r w:rsidRPr="00C4639B">
              <w:rPr>
                <w:rFonts w:ascii="Times New Roman" w:hAnsi="Times New Roman" w:cs="Times New Roman"/>
              </w:rPr>
              <w:t xml:space="preserve">взаимодействия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39B">
              <w:rPr>
                <w:rFonts w:ascii="Times New Roman" w:hAnsi="Times New Roman" w:cs="Times New Roman"/>
              </w:rPr>
              <w:t>акционерного общества «Городские электрические сети»</w:t>
            </w:r>
            <w:r>
              <w:rPr>
                <w:rFonts w:ascii="Times New Roman" w:hAnsi="Times New Roman" w:cs="Times New Roman"/>
              </w:rPr>
              <w:t xml:space="preserve"> с акционерным обществом «Тюменская </w:t>
            </w:r>
            <w:proofErr w:type="spellStart"/>
            <w:r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компания» в процессе осуществления технологического присоединения заявителей и заключения договоров энергоснабжения</w:t>
            </w:r>
          </w:p>
        </w:tc>
        <w:tc>
          <w:tcPr>
            <w:tcW w:w="5480" w:type="dxa"/>
          </w:tcPr>
          <w:p w:rsidR="00C4639B" w:rsidRPr="00C4639B" w:rsidRDefault="00C4639B" w:rsidP="00C4639B">
            <w:pPr>
              <w:jc w:val="center"/>
              <w:rPr>
                <w:rFonts w:ascii="Times New Roman" w:hAnsi="Times New Roman" w:cs="Times New Roman"/>
              </w:rPr>
            </w:pPr>
            <w:r w:rsidRPr="00C4639B">
              <w:rPr>
                <w:rFonts w:ascii="Times New Roman" w:hAnsi="Times New Roman" w:cs="Times New Roman"/>
              </w:rPr>
              <w:t>Упрощение процедур, связанных с технологическим присоединением.</w:t>
            </w:r>
          </w:p>
        </w:tc>
        <w:tc>
          <w:tcPr>
            <w:tcW w:w="2125" w:type="dxa"/>
            <w:vAlign w:val="center"/>
          </w:tcPr>
          <w:p w:rsidR="00C4639B" w:rsidRPr="00BF0A68" w:rsidRDefault="00C4639B" w:rsidP="00C4639B">
            <w:pPr>
              <w:jc w:val="center"/>
              <w:rPr>
                <w:rFonts w:ascii="Times New Roman" w:hAnsi="Times New Roman" w:cs="Times New Roman"/>
              </w:rPr>
            </w:pPr>
            <w:r w:rsidRPr="00BF0A68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D775D" w:rsidRPr="00C02CF4" w:rsidRDefault="00FD775D" w:rsidP="00FD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17303"/>
      <w:bookmarkEnd w:id="2"/>
      <w:r w:rsidRPr="00C02CF4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bookmarkEnd w:id="3"/>
    <w:p w:rsidR="00FD775D" w:rsidRPr="00C02CF4" w:rsidRDefault="00FD775D" w:rsidP="00FD775D">
      <w:pPr>
        <w:rPr>
          <w:rFonts w:ascii="Times New Roman" w:hAnsi="Times New Roman" w:cs="Times New Roman"/>
          <w:color w:val="000000" w:themeColor="text1"/>
        </w:rPr>
      </w:pPr>
    </w:p>
    <w:p w:rsidR="00FD775D" w:rsidRPr="00C02CF4" w:rsidRDefault="00FD775D" w:rsidP="00FD775D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02CF4">
        <w:rPr>
          <w:rFonts w:ascii="Times New Roman" w:hAnsi="Times New Roman" w:cs="Times New Roman"/>
          <w:color w:val="000000" w:themeColor="text1"/>
        </w:rPr>
        <w:t>3.4 Сведения о качестве услуг по технологическому присо</w:t>
      </w:r>
      <w:r>
        <w:rPr>
          <w:rFonts w:ascii="Times New Roman" w:hAnsi="Times New Roman" w:cs="Times New Roman"/>
          <w:color w:val="000000" w:themeColor="text1"/>
        </w:rPr>
        <w:t xml:space="preserve">единению к электрическим сетям </w:t>
      </w:r>
      <w:r w:rsidR="009A15ED">
        <w:rPr>
          <w:rFonts w:ascii="Times New Roman" w:hAnsi="Times New Roman" w:cs="Times New Roman"/>
          <w:color w:val="000000" w:themeColor="text1"/>
        </w:rPr>
        <w:t xml:space="preserve">филиала </w:t>
      </w:r>
      <w:r w:rsidRPr="00C02CF4">
        <w:rPr>
          <w:rFonts w:ascii="Times New Roman" w:hAnsi="Times New Roman" w:cs="Times New Roman"/>
          <w:color w:val="000000" w:themeColor="text1"/>
        </w:rPr>
        <w:t>АО «</w:t>
      </w:r>
      <w:proofErr w:type="spellStart"/>
      <w:r w:rsidRPr="00C02CF4">
        <w:rPr>
          <w:rFonts w:ascii="Times New Roman" w:hAnsi="Times New Roman" w:cs="Times New Roman"/>
          <w:color w:val="000000" w:themeColor="text1"/>
        </w:rPr>
        <w:t>Горэлектросеть</w:t>
      </w:r>
      <w:proofErr w:type="spellEnd"/>
      <w:r w:rsidRPr="00C02CF4">
        <w:rPr>
          <w:rFonts w:ascii="Times New Roman" w:hAnsi="Times New Roman" w:cs="Times New Roman"/>
          <w:color w:val="000000" w:themeColor="text1"/>
        </w:rPr>
        <w:t>»</w:t>
      </w:r>
      <w:r w:rsidR="009A15ED">
        <w:rPr>
          <w:rFonts w:ascii="Times New Roman" w:hAnsi="Times New Roman" w:cs="Times New Roman"/>
          <w:color w:val="000000" w:themeColor="text1"/>
        </w:rPr>
        <w:t xml:space="preserve"> «РГЭС»</w:t>
      </w:r>
      <w:r w:rsidRPr="00C02CF4">
        <w:rPr>
          <w:rFonts w:ascii="Times New Roman" w:hAnsi="Times New Roman" w:cs="Times New Roman"/>
          <w:color w:val="000000" w:themeColor="text1"/>
        </w:rPr>
        <w:t xml:space="preserve"> за 201</w:t>
      </w:r>
      <w:r>
        <w:rPr>
          <w:rFonts w:ascii="Times New Roman" w:hAnsi="Times New Roman" w:cs="Times New Roman"/>
          <w:color w:val="000000" w:themeColor="text1"/>
        </w:rPr>
        <w:t>7</w:t>
      </w:r>
      <w:r w:rsidRPr="00C02CF4">
        <w:rPr>
          <w:rFonts w:ascii="Times New Roman" w:hAnsi="Times New Roman" w:cs="Times New Roman"/>
          <w:color w:val="000000" w:themeColor="text1"/>
        </w:rPr>
        <w:t xml:space="preserve"> год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51"/>
        <w:gridCol w:w="709"/>
        <w:gridCol w:w="851"/>
        <w:gridCol w:w="992"/>
        <w:gridCol w:w="850"/>
        <w:gridCol w:w="851"/>
        <w:gridCol w:w="992"/>
        <w:gridCol w:w="709"/>
        <w:gridCol w:w="850"/>
        <w:gridCol w:w="993"/>
        <w:gridCol w:w="708"/>
        <w:gridCol w:w="851"/>
        <w:gridCol w:w="992"/>
        <w:gridCol w:w="709"/>
        <w:gridCol w:w="850"/>
        <w:gridCol w:w="596"/>
        <w:gridCol w:w="963"/>
      </w:tblGrid>
      <w:tr w:rsidR="00EC601E" w:rsidRPr="00EC601E" w:rsidTr="0022120E">
        <w:trPr>
          <w:trHeight w:val="325"/>
        </w:trPr>
        <w:tc>
          <w:tcPr>
            <w:tcW w:w="417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851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Показатель</w:t>
            </w:r>
          </w:p>
        </w:tc>
        <w:tc>
          <w:tcPr>
            <w:tcW w:w="12503" w:type="dxa"/>
            <w:gridSpan w:val="15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963" w:type="dxa"/>
            <w:vMerge w:val="restart"/>
            <w:vAlign w:val="center"/>
          </w:tcPr>
          <w:p w:rsidR="00FD775D" w:rsidRPr="00EC601E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Всего, </w:t>
            </w:r>
          </w:p>
          <w:p w:rsidR="00FD775D" w:rsidRPr="00EC601E" w:rsidRDefault="00FD775D" w:rsidP="0022120E">
            <w:pPr>
              <w:spacing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</w:tr>
      <w:tr w:rsidR="00EC601E" w:rsidRPr="00EC601E" w:rsidTr="0022120E">
        <w:tc>
          <w:tcPr>
            <w:tcW w:w="41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до 15 кВт включительно</w:t>
            </w:r>
          </w:p>
        </w:tc>
        <w:tc>
          <w:tcPr>
            <w:tcW w:w="2693" w:type="dxa"/>
            <w:gridSpan w:val="3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 кВт и до 150 кВт включительно</w:t>
            </w:r>
          </w:p>
        </w:tc>
        <w:tc>
          <w:tcPr>
            <w:tcW w:w="2552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свыше 150 кВт и менее 670 кВт</w:t>
            </w:r>
          </w:p>
        </w:tc>
        <w:tc>
          <w:tcPr>
            <w:tcW w:w="2551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не менее 670 кВт</w:t>
            </w:r>
          </w:p>
        </w:tc>
        <w:tc>
          <w:tcPr>
            <w:tcW w:w="2155" w:type="dxa"/>
            <w:gridSpan w:val="3"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объекты по производству электрической энергии</w:t>
            </w:r>
          </w:p>
        </w:tc>
        <w:tc>
          <w:tcPr>
            <w:tcW w:w="963" w:type="dxa"/>
            <w:vMerge/>
            <w:vAlign w:val="center"/>
          </w:tcPr>
          <w:p w:rsidR="00FD775D" w:rsidRPr="00EC601E" w:rsidRDefault="00FD775D" w:rsidP="0022120E">
            <w:pPr>
              <w:tabs>
                <w:tab w:val="left" w:pos="-129"/>
                <w:tab w:val="center" w:pos="13"/>
              </w:tabs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22120E">
        <w:tc>
          <w:tcPr>
            <w:tcW w:w="417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51" w:type="dxa"/>
            <w:vMerge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7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N-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(текущий год)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ind w:left="-108" w:right="-108" w:firstLine="4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изменения показателя, %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поданных заявителями в соответствии с требованиями нормативных правовых актов, шт.</w:t>
            </w:r>
          </w:p>
        </w:tc>
        <w:tc>
          <w:tcPr>
            <w:tcW w:w="709" w:type="dxa"/>
            <w:vAlign w:val="center"/>
          </w:tcPr>
          <w:p w:rsidR="00FD775D" w:rsidRPr="00FD28D4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851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center"/>
          </w:tcPr>
          <w:p w:rsidR="00FD775D" w:rsidRPr="00EC601E" w:rsidRDefault="00FD28D4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D775D" w:rsidRPr="00EC601E" w:rsidRDefault="00FD28D4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28D4" w:rsidP="0022120E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B10838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B10838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B10838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B10838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165/132</w:t>
            </w:r>
          </w:p>
        </w:tc>
      </w:tr>
      <w:tr w:rsidR="00B10838" w:rsidRPr="00EC601E" w:rsidTr="0022120E">
        <w:tc>
          <w:tcPr>
            <w:tcW w:w="417" w:type="dxa"/>
            <w:vAlign w:val="center"/>
          </w:tcPr>
          <w:p w:rsidR="00B10838" w:rsidRPr="00EC601E" w:rsidRDefault="00B10838" w:rsidP="00B1083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1" w:type="dxa"/>
            <w:vAlign w:val="center"/>
          </w:tcPr>
          <w:p w:rsidR="00B10838" w:rsidRPr="00EC601E" w:rsidRDefault="00B10838" w:rsidP="00B10838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851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92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B10838" w:rsidRPr="00EC601E" w:rsidRDefault="00F169CC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165/132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2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шт., в </w:t>
            </w:r>
            <w:proofErr w:type="spellStart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т.ч</w:t>
            </w:r>
            <w:proofErr w:type="spellEnd"/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F169CC" w:rsidRDefault="00F169CC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0/1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</w:tcPr>
          <w:p w:rsidR="00FD775D" w:rsidRPr="00EC601E" w:rsidRDefault="00FD775D" w:rsidP="00F169C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сторонних лиц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169CC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</w:tcPr>
          <w:p w:rsidR="00FD775D" w:rsidRPr="00F169CC" w:rsidRDefault="00F169CC" w:rsidP="00F169C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B10838" w:rsidRPr="00EC601E" w:rsidTr="0022120E">
        <w:tc>
          <w:tcPr>
            <w:tcW w:w="417" w:type="dxa"/>
            <w:vAlign w:val="center"/>
          </w:tcPr>
          <w:p w:rsidR="00B10838" w:rsidRPr="00EC601E" w:rsidRDefault="00B10838" w:rsidP="00B1083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51" w:type="dxa"/>
            <w:vAlign w:val="center"/>
          </w:tcPr>
          <w:p w:rsidR="00B10838" w:rsidRPr="00EC601E" w:rsidRDefault="00B10838" w:rsidP="00B10838">
            <w:pPr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подготовки и направления проекта договора об осуществления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3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851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992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851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992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92,8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B10838" w:rsidRPr="00D93AC7" w:rsidRDefault="00D93AC7" w:rsidP="00D93AC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B10838"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B10838" w:rsidRPr="00EC601E" w:rsidTr="0022120E">
        <w:tc>
          <w:tcPr>
            <w:tcW w:w="417" w:type="dxa"/>
            <w:vAlign w:val="center"/>
          </w:tcPr>
          <w:p w:rsidR="00B10838" w:rsidRPr="00EC601E" w:rsidRDefault="00B10838" w:rsidP="00B10838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vAlign w:val="center"/>
          </w:tcPr>
          <w:p w:rsidR="00B10838" w:rsidRPr="00EC601E" w:rsidRDefault="00B10838" w:rsidP="00B10838">
            <w:pPr>
              <w:spacing w:line="22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заключенных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851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992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70,1</w:t>
            </w:r>
          </w:p>
        </w:tc>
        <w:tc>
          <w:tcPr>
            <w:tcW w:w="850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183,3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B10838" w:rsidRPr="00FD28D4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B10838" w:rsidRPr="00EC601E" w:rsidRDefault="00B10838" w:rsidP="00B1083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B10838" w:rsidRPr="00D93AC7" w:rsidRDefault="00D93AC7" w:rsidP="00D93AC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</w:t>
            </w:r>
            <w:r w:rsidR="00B10838"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</w:t>
            </w:r>
          </w:p>
        </w:tc>
      </w:tr>
      <w:tr w:rsidR="00FD28D4" w:rsidRPr="00EC601E" w:rsidTr="0022120E">
        <w:tc>
          <w:tcPr>
            <w:tcW w:w="417" w:type="dxa"/>
            <w:vAlign w:val="center"/>
          </w:tcPr>
          <w:p w:rsidR="00FD28D4" w:rsidRPr="00EC601E" w:rsidRDefault="00FD28D4" w:rsidP="00FD28D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51" w:type="dxa"/>
            <w:vAlign w:val="center"/>
          </w:tcPr>
          <w:p w:rsidR="00FD28D4" w:rsidRPr="00EC601E" w:rsidRDefault="00FD28D4" w:rsidP="00FD28D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шт.</w:t>
            </w:r>
          </w:p>
        </w:tc>
        <w:tc>
          <w:tcPr>
            <w:tcW w:w="709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851" w:type="dxa"/>
            <w:vAlign w:val="center"/>
          </w:tcPr>
          <w:p w:rsidR="00FD28D4" w:rsidRPr="00FD28D4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92" w:type="dxa"/>
            <w:vAlign w:val="center"/>
          </w:tcPr>
          <w:p w:rsidR="00FD28D4" w:rsidRPr="00FD28D4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61,4</w:t>
            </w:r>
          </w:p>
        </w:tc>
        <w:tc>
          <w:tcPr>
            <w:tcW w:w="850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146,2</w:t>
            </w:r>
          </w:p>
        </w:tc>
        <w:tc>
          <w:tcPr>
            <w:tcW w:w="709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D28D4" w:rsidRPr="00FD28D4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FD28D4" w:rsidRPr="00EC601E" w:rsidRDefault="00B10838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D28D4" w:rsidRPr="00B10838" w:rsidRDefault="00B10838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28D4" w:rsidRPr="00EC601E" w:rsidRDefault="00FD28D4" w:rsidP="00FD28D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28D4" w:rsidRPr="00EC601E" w:rsidRDefault="00D93AC7" w:rsidP="00D93AC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</w:t>
            </w:r>
            <w:r w:rsidR="00FD28D4"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4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шт.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сетевой организации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51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по вине заявителя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0/0</w:t>
            </w:r>
          </w:p>
        </w:tc>
      </w:tr>
      <w:tr w:rsidR="00EC601E" w:rsidRPr="00EC601E" w:rsidTr="0022120E">
        <w:tc>
          <w:tcPr>
            <w:tcW w:w="417" w:type="dxa"/>
            <w:vAlign w:val="center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51" w:type="dxa"/>
          </w:tcPr>
          <w:p w:rsidR="00FD775D" w:rsidRPr="00EC601E" w:rsidRDefault="00FD775D" w:rsidP="0022120E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Средняя продолжительность исполнения договоров об осуществлении технологического присоединения к электрическим сетям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5</w:t>
            </w:r>
            <w:r w:rsidRPr="00EC601E">
              <w:rPr>
                <w:rFonts w:ascii="Times New Roman" w:hAnsi="Times New Roman" w:cs="Times New Roman"/>
                <w:bCs/>
                <w:sz w:val="18"/>
                <w:szCs w:val="18"/>
              </w:rPr>
              <w:t>, дней</w:t>
            </w:r>
          </w:p>
        </w:tc>
        <w:tc>
          <w:tcPr>
            <w:tcW w:w="709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1" w:type="dxa"/>
            <w:vAlign w:val="center"/>
          </w:tcPr>
          <w:p w:rsidR="00FD775D" w:rsidRPr="00FD28D4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FD775D" w:rsidRPr="00FD28D4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119,6</w:t>
            </w:r>
          </w:p>
        </w:tc>
        <w:tc>
          <w:tcPr>
            <w:tcW w:w="850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FD775D" w:rsidRPr="00FD28D4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992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148,3</w:t>
            </w:r>
          </w:p>
        </w:tc>
        <w:tc>
          <w:tcPr>
            <w:tcW w:w="709" w:type="dxa"/>
            <w:vAlign w:val="center"/>
          </w:tcPr>
          <w:p w:rsidR="00FD775D" w:rsidRPr="00EC601E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FD775D" w:rsidRPr="00FD28D4" w:rsidRDefault="00FD28D4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FD775D" w:rsidRPr="00EC601E" w:rsidRDefault="00B10838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851" w:type="dxa"/>
            <w:vAlign w:val="center"/>
          </w:tcPr>
          <w:p w:rsidR="00FD775D" w:rsidRPr="00B10838" w:rsidRDefault="00B10838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FD775D" w:rsidRPr="00EC601E" w:rsidRDefault="00FD775D" w:rsidP="0022120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63" w:type="dxa"/>
            <w:vAlign w:val="center"/>
          </w:tcPr>
          <w:p w:rsidR="00FD775D" w:rsidRPr="00EC601E" w:rsidRDefault="00D93AC7" w:rsidP="009A15E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</w:t>
            </w:r>
            <w:r w:rsidR="00FD775D" w:rsidRPr="00EC60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9A15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</w:tbl>
    <w:p w:rsidR="00FD775D" w:rsidRDefault="00FD775D" w:rsidP="00FD775D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Примечание: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1 - Если рассмотрение заявки для заключения договора об осуществлении технологического присоединения к электрическим сетям проводилось в течение нескольких отчетных периодов, в том числе по причине необходимости получения дополнительных сведений для обеспечения соответствия ее требованиям нормативных правовых актов, такие заявки учитываются один раз в том отчетном периоде, в котором заявителю направлен проект договора.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 – Под нарушением сроков в таблице 2.1 понимается несоблюдение сроков,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(Собрание законодательства Российской Федерации, 2004, № 52 (ч. 2), ст. 5525; 2007, № 14, ст. 1687; № 31, ст. 4100; 2009, № 9, ст. 1103; № 8, ст. 979; № 17, ст. 2088; № 25, ст. 3073; № 41, ст. 4771; 2010, № 12, ст. 1333; № 24, ст. 2607; № 25, ст. 3175; № 40, ст. 5086; 2011, № 10, ст. 1406; 2012, № 4, ст. 504; № 23, ст. 3008; № 41, ст. 5636; № 49, ст. 6858; № 52, ст. 7525; 2013, № 30 (часть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II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), ст. 4119; № 31, ст. 4226; № 31, ст. 4236; № 32, ст. 4309; № 33, ст. 4392; № 35, ст. 4523; № 42, ст. 5373; № 44, ст. 5765; № 47, ст. 6105; № 48, ст. 6255; № 50, ст. 6598; 2014, № 7, ст. 689; № 9, ст. 913; № 11, ст. 1156; № 25, ст. 3311; № 32, ст. 4513; № 32, ст. 4521). 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3 - При расчете средней продолжительности учитываются заявки, проект договора по которым направлен заявителю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-1). Длительность подготовки и направления проекта договора заявителю определяется с даты получения сетевой организацией заявки на технологическое </w:t>
      </w:r>
      <w:proofErr w:type="gramStart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присоединение  или</w:t>
      </w:r>
      <w:proofErr w:type="gramEnd"/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с даты получения недостающих сведений и (или) документов к заявке до даты направления  проекта договора заявителю.</w:t>
      </w:r>
    </w:p>
    <w:p w:rsidR="00FD775D" w:rsidRPr="00431004" w:rsidRDefault="00FD775D" w:rsidP="00FD775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4- В строке 7 указываются договоры об осуществлении технологического присоединения,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-1),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присоединения. При этом не учитываются договоры об осуществлении технологического присоединения, сроки по которым нарушены в связи с неисполнением в срок обязательств по договору заявителями, тогда как сетевой организацией мероприятия по техническим условиям исполнены в срок и направлено соответствующее уведомление заявителю.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3100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5 - При расчете средней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продолжительности учитываются договоры об осуществлении технологического присоединения к электрическим сетям, исполненные в соответствующем периоде регулирования (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или 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</w:t>
      </w:r>
      <w:r w:rsidRPr="0043100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-1). Продолжительность определяется с даты заключения договора до даты исполнения договора (подписания акта технологического присоединения) (в календарных днях). В случае, если заявителями не исполнены в срок обязательства по договору, а сетевой организацией мероприятия, предусмотренные техническими условиями, исполнены в установленный срок, датой исполнения обязательств по договору считается дата исполнения сетевой организацией мероприятий в соответствии с техническими условиями и направления заявителю соответствующего уведомления.</w:t>
      </w: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FD775D" w:rsidRPr="00C02CF4" w:rsidRDefault="00FD775D" w:rsidP="00FD77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C02CF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3.5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79"/>
        <w:gridCol w:w="2835"/>
        <w:gridCol w:w="1843"/>
        <w:gridCol w:w="1417"/>
        <w:gridCol w:w="1418"/>
        <w:gridCol w:w="1276"/>
        <w:gridCol w:w="1275"/>
        <w:gridCol w:w="1134"/>
        <w:gridCol w:w="993"/>
      </w:tblGrid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Мощность энергопринимающих устройств заявителя, кВт</w:t>
            </w:r>
          </w:p>
        </w:tc>
        <w:tc>
          <w:tcPr>
            <w:tcW w:w="4678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670</w:t>
            </w:r>
          </w:p>
        </w:tc>
      </w:tr>
      <w:tr w:rsidR="00FD775D" w:rsidRPr="00C02CF4" w:rsidTr="0022120E">
        <w:tc>
          <w:tcPr>
            <w:tcW w:w="2405" w:type="dxa"/>
            <w:gridSpan w:val="3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Категория надежности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I-II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</w:tr>
      <w:tr w:rsidR="00FD775D" w:rsidRPr="00C02CF4" w:rsidTr="0022120E">
        <w:trPr>
          <w:cantSplit/>
          <w:trHeight w:val="1825"/>
        </w:trPr>
        <w:tc>
          <w:tcPr>
            <w:tcW w:w="817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Расстояние до границ земельного участка заявителя, м</w:t>
            </w:r>
          </w:p>
        </w:tc>
        <w:tc>
          <w:tcPr>
            <w:tcW w:w="709" w:type="dxa"/>
            <w:textDirection w:val="btL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Необходимость строительства подстанции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Тип линии</w:t>
            </w:r>
          </w:p>
        </w:tc>
        <w:tc>
          <w:tcPr>
            <w:tcW w:w="283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D775D" w:rsidRPr="00C02CF4" w:rsidRDefault="00FD775D" w:rsidP="0022120E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605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500 - сельская местность/</w:t>
            </w:r>
          </w:p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 – городская местность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5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509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48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32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1 250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858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775D" w:rsidRPr="00C02CF4" w:rsidTr="0022120E">
        <w:trPr>
          <w:trHeight w:val="397"/>
        </w:trPr>
        <w:tc>
          <w:tcPr>
            <w:tcW w:w="817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FD775D" w:rsidRPr="00C02CF4" w:rsidRDefault="00FD775D" w:rsidP="0022120E">
            <w:pPr>
              <w:spacing w:line="18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extDirection w:val="btLr"/>
            <w:vAlign w:val="center"/>
          </w:tcPr>
          <w:p w:rsidR="00FD775D" w:rsidRPr="00C02CF4" w:rsidRDefault="00FD775D" w:rsidP="0022120E">
            <w:pPr>
              <w:spacing w:line="1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2C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ВЛ</w:t>
            </w:r>
          </w:p>
        </w:tc>
        <w:tc>
          <w:tcPr>
            <w:tcW w:w="283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D775D" w:rsidRPr="00C02CF4" w:rsidRDefault="00FD775D" w:rsidP="0022120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775D" w:rsidRPr="00E3549E" w:rsidRDefault="00FD775D" w:rsidP="00FD77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E354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Стоимость технологического присоединения к электрическим сетям сетевой организации (при вводе параметров, предусмотренных настоящим пунктом)</w:t>
      </w:r>
      <w:r w:rsidRPr="00E3549E">
        <w:rPr>
          <w:rFonts w:ascii="Times New Roman" w:hAnsi="Times New Roman" w:cs="Times New Roman"/>
          <w:bCs/>
          <w:color w:val="000000" w:themeColor="text1"/>
        </w:rPr>
        <w:t xml:space="preserve"> рассчитывается на официальном сайте АО «Горэлектросеть» в разделе «Технологическое присоединение, Калькулятор стоимости ТП» (либо по ссылке: </w:t>
      </w:r>
      <w:r w:rsidRPr="00E3549E">
        <w:t xml:space="preserve"> </w:t>
      </w:r>
      <w:hyperlink r:id="rId6" w:history="1">
        <w:r w:rsidRPr="00E3549E">
          <w:rPr>
            <w:rStyle w:val="a7"/>
            <w:rFonts w:ascii="Times New Roman" w:hAnsi="Times New Roman" w:cs="Times New Roman"/>
            <w:bCs/>
          </w:rPr>
          <w:t>https://ges-nv.ru/index.php?option=com_tekhprisoedinenie&amp;view=calculate&amp;Itemid=196</w:t>
        </w:r>
      </w:hyperlink>
      <w:r w:rsidRPr="00E3549E">
        <w:rPr>
          <w:rFonts w:ascii="Times New Roman" w:hAnsi="Times New Roman" w:cs="Times New Roman"/>
          <w:bCs/>
          <w:color w:val="000000" w:themeColor="text1"/>
        </w:rPr>
        <w:t>).</w:t>
      </w:r>
    </w:p>
    <w:p w:rsidR="00981983" w:rsidRDefault="00981983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79A6" w:rsidRDefault="00C579A6" w:rsidP="009819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C579A6" w:rsidSect="000246A9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E59"/>
    <w:multiLevelType w:val="multilevel"/>
    <w:tmpl w:val="A9664F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BF2B80"/>
    <w:multiLevelType w:val="hybridMultilevel"/>
    <w:tmpl w:val="0D5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06D7"/>
    <w:multiLevelType w:val="hybridMultilevel"/>
    <w:tmpl w:val="419E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D"/>
    <w:rsid w:val="000032C3"/>
    <w:rsid w:val="00013EE6"/>
    <w:rsid w:val="000246A9"/>
    <w:rsid w:val="000343FD"/>
    <w:rsid w:val="00063211"/>
    <w:rsid w:val="000938E3"/>
    <w:rsid w:val="00094417"/>
    <w:rsid w:val="000A2D11"/>
    <w:rsid w:val="000A4A50"/>
    <w:rsid w:val="000B0783"/>
    <w:rsid w:val="000D79AB"/>
    <w:rsid w:val="00110C7F"/>
    <w:rsid w:val="00120F28"/>
    <w:rsid w:val="00125BDF"/>
    <w:rsid w:val="001325BB"/>
    <w:rsid w:val="0014787D"/>
    <w:rsid w:val="00177E56"/>
    <w:rsid w:val="001B6C8E"/>
    <w:rsid w:val="001C2933"/>
    <w:rsid w:val="001E1DDE"/>
    <w:rsid w:val="001F56E0"/>
    <w:rsid w:val="001F7C81"/>
    <w:rsid w:val="0021072E"/>
    <w:rsid w:val="0022120E"/>
    <w:rsid w:val="002240E9"/>
    <w:rsid w:val="00233C03"/>
    <w:rsid w:val="00254F12"/>
    <w:rsid w:val="0026401E"/>
    <w:rsid w:val="0028498A"/>
    <w:rsid w:val="00295A39"/>
    <w:rsid w:val="00296111"/>
    <w:rsid w:val="002B2DB1"/>
    <w:rsid w:val="002C0583"/>
    <w:rsid w:val="002D26C8"/>
    <w:rsid w:val="002E60A8"/>
    <w:rsid w:val="002F2975"/>
    <w:rsid w:val="00312A43"/>
    <w:rsid w:val="00361B61"/>
    <w:rsid w:val="003711A6"/>
    <w:rsid w:val="00376BD3"/>
    <w:rsid w:val="00383A5D"/>
    <w:rsid w:val="0039385C"/>
    <w:rsid w:val="003A0D3C"/>
    <w:rsid w:val="003A68A5"/>
    <w:rsid w:val="003B45FE"/>
    <w:rsid w:val="003D31B6"/>
    <w:rsid w:val="003D3C4D"/>
    <w:rsid w:val="003D580E"/>
    <w:rsid w:val="003F1E79"/>
    <w:rsid w:val="003F5846"/>
    <w:rsid w:val="00402F7D"/>
    <w:rsid w:val="00417F84"/>
    <w:rsid w:val="004307DF"/>
    <w:rsid w:val="00431004"/>
    <w:rsid w:val="0043465D"/>
    <w:rsid w:val="0043607E"/>
    <w:rsid w:val="00437DBA"/>
    <w:rsid w:val="00442A50"/>
    <w:rsid w:val="00446E7F"/>
    <w:rsid w:val="004604D9"/>
    <w:rsid w:val="004717BF"/>
    <w:rsid w:val="004758D5"/>
    <w:rsid w:val="0049359D"/>
    <w:rsid w:val="004A3A81"/>
    <w:rsid w:val="004A515C"/>
    <w:rsid w:val="004D0B22"/>
    <w:rsid w:val="004D1575"/>
    <w:rsid w:val="004D3ECE"/>
    <w:rsid w:val="004D4193"/>
    <w:rsid w:val="004E52F5"/>
    <w:rsid w:val="00502CFA"/>
    <w:rsid w:val="00505260"/>
    <w:rsid w:val="0050579A"/>
    <w:rsid w:val="00507A62"/>
    <w:rsid w:val="00507E7C"/>
    <w:rsid w:val="00510805"/>
    <w:rsid w:val="00513785"/>
    <w:rsid w:val="00584B56"/>
    <w:rsid w:val="005869F4"/>
    <w:rsid w:val="005B030E"/>
    <w:rsid w:val="005C5BE1"/>
    <w:rsid w:val="005D06C6"/>
    <w:rsid w:val="005F1730"/>
    <w:rsid w:val="005F26DF"/>
    <w:rsid w:val="005F2906"/>
    <w:rsid w:val="005F6C5A"/>
    <w:rsid w:val="00602854"/>
    <w:rsid w:val="00613307"/>
    <w:rsid w:val="00615ADA"/>
    <w:rsid w:val="00621005"/>
    <w:rsid w:val="00626E39"/>
    <w:rsid w:val="00651AFD"/>
    <w:rsid w:val="00671F22"/>
    <w:rsid w:val="0067543C"/>
    <w:rsid w:val="00685715"/>
    <w:rsid w:val="00690C38"/>
    <w:rsid w:val="006A75C3"/>
    <w:rsid w:val="006B0A94"/>
    <w:rsid w:val="006C299E"/>
    <w:rsid w:val="00700F57"/>
    <w:rsid w:val="007116CE"/>
    <w:rsid w:val="00713057"/>
    <w:rsid w:val="007549E4"/>
    <w:rsid w:val="00756624"/>
    <w:rsid w:val="0076334C"/>
    <w:rsid w:val="007934CF"/>
    <w:rsid w:val="007B0CD8"/>
    <w:rsid w:val="007B79B1"/>
    <w:rsid w:val="007C4F84"/>
    <w:rsid w:val="007C6E5F"/>
    <w:rsid w:val="007D6DFD"/>
    <w:rsid w:val="007E7086"/>
    <w:rsid w:val="007E78B7"/>
    <w:rsid w:val="00815E59"/>
    <w:rsid w:val="00832E54"/>
    <w:rsid w:val="00844C2A"/>
    <w:rsid w:val="008453F6"/>
    <w:rsid w:val="008721B1"/>
    <w:rsid w:val="00887AB5"/>
    <w:rsid w:val="008977B9"/>
    <w:rsid w:val="008D6F99"/>
    <w:rsid w:val="008D7C76"/>
    <w:rsid w:val="0093059F"/>
    <w:rsid w:val="00942CDB"/>
    <w:rsid w:val="009651F3"/>
    <w:rsid w:val="009752C3"/>
    <w:rsid w:val="00981983"/>
    <w:rsid w:val="0098719D"/>
    <w:rsid w:val="009A15ED"/>
    <w:rsid w:val="009B2D67"/>
    <w:rsid w:val="009C79F7"/>
    <w:rsid w:val="00A00140"/>
    <w:rsid w:val="00A01B81"/>
    <w:rsid w:val="00A0649F"/>
    <w:rsid w:val="00A42589"/>
    <w:rsid w:val="00A61A94"/>
    <w:rsid w:val="00A63B5C"/>
    <w:rsid w:val="00A66DC8"/>
    <w:rsid w:val="00A72368"/>
    <w:rsid w:val="00A90F90"/>
    <w:rsid w:val="00A94C93"/>
    <w:rsid w:val="00AA7829"/>
    <w:rsid w:val="00AB36E9"/>
    <w:rsid w:val="00AD3615"/>
    <w:rsid w:val="00AE7860"/>
    <w:rsid w:val="00AF14A9"/>
    <w:rsid w:val="00B03A5B"/>
    <w:rsid w:val="00B0567D"/>
    <w:rsid w:val="00B10838"/>
    <w:rsid w:val="00B16D5E"/>
    <w:rsid w:val="00B21BCA"/>
    <w:rsid w:val="00B40D13"/>
    <w:rsid w:val="00B423BD"/>
    <w:rsid w:val="00B73261"/>
    <w:rsid w:val="00B8212F"/>
    <w:rsid w:val="00B85E6E"/>
    <w:rsid w:val="00BB075E"/>
    <w:rsid w:val="00BD255F"/>
    <w:rsid w:val="00BF5AD6"/>
    <w:rsid w:val="00BF7841"/>
    <w:rsid w:val="00C02CF4"/>
    <w:rsid w:val="00C068ED"/>
    <w:rsid w:val="00C22DAA"/>
    <w:rsid w:val="00C25796"/>
    <w:rsid w:val="00C2782E"/>
    <w:rsid w:val="00C342C9"/>
    <w:rsid w:val="00C4639B"/>
    <w:rsid w:val="00C5741E"/>
    <w:rsid w:val="00C579A6"/>
    <w:rsid w:val="00C70154"/>
    <w:rsid w:val="00C84DB0"/>
    <w:rsid w:val="00CC75A0"/>
    <w:rsid w:val="00CD09DD"/>
    <w:rsid w:val="00CD1DB1"/>
    <w:rsid w:val="00D048AD"/>
    <w:rsid w:val="00D203E4"/>
    <w:rsid w:val="00D21986"/>
    <w:rsid w:val="00D33E3F"/>
    <w:rsid w:val="00D440E5"/>
    <w:rsid w:val="00D448D3"/>
    <w:rsid w:val="00D47D55"/>
    <w:rsid w:val="00D93AC7"/>
    <w:rsid w:val="00D9774E"/>
    <w:rsid w:val="00DC30D0"/>
    <w:rsid w:val="00DC6485"/>
    <w:rsid w:val="00DE2767"/>
    <w:rsid w:val="00DF1079"/>
    <w:rsid w:val="00E41BD5"/>
    <w:rsid w:val="00E4769C"/>
    <w:rsid w:val="00E637DC"/>
    <w:rsid w:val="00E801BD"/>
    <w:rsid w:val="00E836E1"/>
    <w:rsid w:val="00E905CD"/>
    <w:rsid w:val="00E905D1"/>
    <w:rsid w:val="00E913AE"/>
    <w:rsid w:val="00E91D92"/>
    <w:rsid w:val="00EA2475"/>
    <w:rsid w:val="00EA4B51"/>
    <w:rsid w:val="00EA5285"/>
    <w:rsid w:val="00EC601E"/>
    <w:rsid w:val="00ED5781"/>
    <w:rsid w:val="00EE1B1F"/>
    <w:rsid w:val="00EF3F93"/>
    <w:rsid w:val="00EF6EC9"/>
    <w:rsid w:val="00F169CC"/>
    <w:rsid w:val="00F515D3"/>
    <w:rsid w:val="00FA2E9B"/>
    <w:rsid w:val="00FA38AA"/>
    <w:rsid w:val="00FA39FA"/>
    <w:rsid w:val="00FA56AA"/>
    <w:rsid w:val="00FB10CB"/>
    <w:rsid w:val="00FB2FD2"/>
    <w:rsid w:val="00FB78B7"/>
    <w:rsid w:val="00FC2AC7"/>
    <w:rsid w:val="00FC2CCD"/>
    <w:rsid w:val="00FC792A"/>
    <w:rsid w:val="00FD28D4"/>
    <w:rsid w:val="00FD6DDE"/>
    <w:rsid w:val="00FD775D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E407"/>
  <w15:docId w15:val="{347610BE-C25A-4212-9202-B53B7005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DF"/>
  </w:style>
  <w:style w:type="paragraph" w:styleId="1">
    <w:name w:val="heading 1"/>
    <w:basedOn w:val="a"/>
    <w:next w:val="a"/>
    <w:link w:val="10"/>
    <w:uiPriority w:val="99"/>
    <w:qFormat/>
    <w:rsid w:val="00BF78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67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0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67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39F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A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4E52F5"/>
    <w:rPr>
      <w:color w:val="808080"/>
    </w:rPr>
  </w:style>
  <w:style w:type="paragraph" w:customStyle="1" w:styleId="s3">
    <w:name w:val="s_3"/>
    <w:basedOn w:val="a"/>
    <w:rsid w:val="0084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B0A94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uiPriority w:val="22"/>
    <w:qFormat/>
    <w:rsid w:val="006B0A9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F784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s-nv.ru/index.php?option=com_tekhprisoedinenie&amp;view=calculate&amp;Itemid=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1B25-8FB6-4244-85A2-5A5116DB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Асия Асхатовна</dc:creator>
  <cp:lastModifiedBy>Ементян Наталья Александровна</cp:lastModifiedBy>
  <cp:revision>3</cp:revision>
  <cp:lastPrinted>2017-04-11T09:22:00Z</cp:lastPrinted>
  <dcterms:created xsi:type="dcterms:W3CDTF">2018-03-30T05:34:00Z</dcterms:created>
  <dcterms:modified xsi:type="dcterms:W3CDTF">2018-03-30T06:01:00Z</dcterms:modified>
</cp:coreProperties>
</file>